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264338C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2025: obstacole depășite – așteptări depășite</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Creșterea vânzărilor semnificativ peste media industriei</w:t>
      </w:r>
    </w:p>
    <w:p w14:paraId="2026048D" w14:textId="0EA772B6"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Grupul AMAZONE a încheiat anul financiar 2025 cu o cifră de afaceri totală de aproximativ 850 de milioane de euro, ceea ce reprezintă o creștere de 11,4% față de anul precedent.</w:t>
      </w:r>
      <w:r w:rsidR="00BD7CDE">
        <w:rPr>
          <w:rFonts w:ascii="Arial" w:hAnsi="Arial"/>
          <w:sz w:val="22"/>
        </w:rPr>
        <w:t xml:space="preserve"> A</w:t>
      </w:r>
      <w:r>
        <w:rPr>
          <w:rFonts w:ascii="Arial" w:hAnsi="Arial"/>
          <w:sz w:val="22"/>
        </w:rPr>
        <w:t>cest rezultat excelent este cu mult peste media industriei și subliniază evoluția pozitivă pe fondul unui context de piață în general dificil. Numărul angajaților a crescut, de asemenea, și în prezent se ridică la aproximativ 2.700 la nivel mondial. Creșterea peste medie înregistrată pe mai multe piețe internaționale a fost deosebit de încurajatoare. Polonia, România și China, de exemplu, s-au numărat printre țările cu o creștere deosebit de puternică a vânzărilor în 2025, iar Ucraina a înregistrat, de asemenea, o evoluție foarte bună a vânzărilor, în ciuda condițiilor extrem de dificile.</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„2025 a fost un an extrem de succes pentru noi și ne-a permis, încă o dată, să ne consolidăm semnificativ poziția pe piață. Creșterea semnificativă a cifrei de afaceri este cu mult peste așteptările noastre inițiale. Suntem încântați de creșterea semnificativă a cererii pentru noile noastre concepte de mașini și de răspunsul pozitiv la soluțiile noastre digitale. „Acest lucru demonstrează clar accentul pe care îl punem pe precizie și durabilitate în întregul nostru portofoliu de produse”, afirmă Christian Dreyer și dr. Justus Dreyer, copreședinți ai consiliului de administrație și proprietari ai grupului AMAZONE.</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Investiții realizate în instalații, producție și know-how</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Pentru a-și asigura traiectoria de creștere pe termen lung, compania a investit peste 5% din cifra de afaceri în cercetare și dezvoltare.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În plus, infrastructura de producție și logistică continuă să fie extinsă în mod strategic. La fabrica din Leipzig, au fost deschise noi hale de producție cu o suprafață de 8.000 m² și au fost extinse spațiile de depozitare în aer liber cu aproximativ 15.000 m². În același timp, capacitatea sistemului fotovoltaic a fost mărită.</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În Bramsche este pe cale să înceapă a doua extindere de la deschiderea noii fabrici în 2018. Este prevăzută o investiție de aproximativ 12 milioane de euro pentru extinderea zonelor de asamblare și logistică, ceea ce va spori și mai mult capacitatea acestei fabrici.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 xml:space="preserve">De asemenea, în Gaste și Hude au fost instalate noi mașini cu laser în valoare de aproximativ 6 milioane de euro. Investițiile suplimentare în Gaste au inclus un sistem </w:t>
      </w:r>
      <w:r>
        <w:rPr>
          <w:rFonts w:ascii="Arial" w:hAnsi="Arial"/>
          <w:sz w:val="22"/>
        </w:rPr>
        <w:lastRenderedPageBreak/>
        <w:t xml:space="preserve">modern de sudură cu laser, modernizarea eficientă din punct de vedere energetic a halelor de producție și extinderea capacității fotovoltaice existente.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„Prin aceste proiecte ample de modernizare și extindere, transmitem un semnal clar cu privire la viitorul unităților noastre de producție. Investim în mod conștient în procese de producție și logistică durabile, pentru a ne asigura puterea inovatoare pe termen lung, sporind în același timp eficiența producției noastre. Ne concentrăm în mod special pe automatizare și optimizare, pentru a menține și consolida permanent valoarea adăugată a companiei", subliniază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3C3C2180"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Consolidarea structurii unităților de la nivel global</w:t>
      </w:r>
      <w:r w:rsidR="00BD7CDE">
        <w:rPr>
          <w:rFonts w:ascii="Arial" w:hAnsi="Arial"/>
          <w:b/>
          <w:sz w:val="22"/>
        </w:rPr>
        <w:t xml:space="preserve"> – El Dorado</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La nivel internațional, grupul AMAZONE și-a consolidat prezența în America de Nord prin deschiderea unui nou sediu în El Dorado, Kansas – una dintre cele mai importante regiuni agricole din SUA. Noua unitate acoperă o suprafață totală de aproximativ 3 hectare și dispune de un atelier de 2.800 m² cu spații de birouri adiacente. În viitor, mașinile agricole și piesele de schimb pentru întreaga piață americană vor fi depozitate și expediate de aici, iar lucrările de asamblare finală vor fi, de asemenea, efectuate aici.</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Extinderea unităților de instruire – Academia AMAZONE</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Au fost implementate măsuri importante pentru dezvoltarea în continuare a nivelului de competență al partenerilor de vânzări și servicii. O altă unitate de formare AMAZONE Academy a fost înființată în Hude</w:t>
      </w:r>
      <w:r>
        <w:rPr>
          <w:rFonts w:ascii="Arial" w:hAnsi="Arial"/>
          <w:sz w:val="22"/>
        </w:rPr>
        <w:noBreakHyphen/>
        <w:t>Altmoorhausen. Aceasta este o unitate modernă de instruire și prezentare, cu o suprafață de 2.430 m², special concepută pentru a prezenta utilajele AMAZONE pentru suprafețe mari și, de exemplu, mașinile de erbicidat cu rampe de până la 48 de metri. Apropierea de zonele de instruire în aer liber permite integrarea și mai intensă a lucrului pe câmp în sesiunile de instruire pentru toate produsele. Agricultorii și contractorii beneficiază de cursuri practice de formare a operatorilor, care sunt oferite în mod regulat.</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Centrul de testare din Wambergen</w:t>
      </w:r>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 xml:space="preserve">Un alt punct central este dezvoltarea în continuare a centrului de testare din Wambergen. Proprietatea, situată în imediata vecinătate a fabricii principale din Gaste, este modernizată continuu, iar amploarea testelor pe teren este extinsă constant. Cu </w:t>
      </w:r>
      <w:r>
        <w:rPr>
          <w:rFonts w:ascii="Arial" w:hAnsi="Arial"/>
          <w:sz w:val="22"/>
        </w:rPr>
        <w:lastRenderedPageBreak/>
        <w:t>accentul pus pe testele practice de cultivare a culturilor, unitatea oferă condiții ideale pentru demonstrarea sistemelor moderne inteligente de cultivare a culturilor și pentru schimbul de cunoștințe cu clienții și partenerii de vânzări, în colaborare cu partenerii noștri.</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57F9AB6F"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O mare forță inovatoare și un succes la Agritechnica</w:t>
      </w:r>
      <w:r w:rsidR="00BD7CDE">
        <w:rPr>
          <w:rFonts w:ascii="Arial" w:hAnsi="Arial"/>
          <w:b/>
          <w:sz w:val="22"/>
        </w:rPr>
        <w:t xml:space="preserve"> 2025</w:t>
      </w:r>
    </w:p>
    <w:p w14:paraId="3E4284CB" w14:textId="2FD2D90D"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Dezvoltarea continuă și inovatoare a gamei de produse s-a dovedit a fi un factor-cheie pentru succesul AMAZONE și în 2025. AMAZONE a prezentat peste 30 de produse noi la Agritechnica și a primit mai multe premii pentru acestea. Medalia de argint DLG acordată distribuitorului montat ZA</w:t>
      </w:r>
      <w:r>
        <w:rPr>
          <w:rFonts w:ascii="Arial" w:hAnsi="Arial"/>
          <w:sz w:val="22"/>
        </w:rPr>
        <w:noBreakHyphen/>
        <w:t xml:space="preserve">TS 01 AutoSpread, ca distribuitor de îngrășăminte cu reglare automată, și sistemului de recunoaștere a îngrășămintelor EasyMatch bazat pe inteligență artificială a confirmat nivelul ridicat de dezvoltare și relevanța tehnologică a acestor produse. DLG a recunoscut, de asemenea, abordarea orientată spre viitor a companiei, acordându-i premiul Agrifuture Concept Award pentru SoilDetect, un sistem bazat pe senzori de sol. În plus, AMAZONE a primit două premii Farm Machine Awards din partea unui juriu internațional format din jurnaliști ai unor reviste de specialitate renumite: unul pentru sistemul EasyTram pentru planificarea și crearea cărărilor tehnologice prin intermediul hârților de aplicare și celălalt pentru ZA-TS 01 cu AutoSpread.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„Numeroasele premii pe care le-am primit evidențiază puterea noastră tehnologică și demonstrează cât de consecvent și cu câtă pasiune lucrează echipa noastră la soluții practice și orientate spre viitor. Progresele pe care le-am înregistrat, în special în domeniul aplicațiilor de agricultură de precizie, demonstrează angajamentul nostru de a fi mereu cu un pas înainte în ceea ce privește tehnologia", afirmă dr.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Alte produse remarcabile pentru 2025 includ noua generație de grapă compactă cu discuri tractată Catros</w:t>
      </w:r>
      <w:r>
        <w:rPr>
          <w:rFonts w:ascii="Arial" w:hAnsi="Arial"/>
          <w:sz w:val="22"/>
          <w:vertAlign w:val="superscript"/>
        </w:rPr>
        <w:t>+</w:t>
      </w:r>
      <w:r>
        <w:rPr>
          <w:rFonts w:ascii="Arial" w:hAnsi="Arial"/>
          <w:sz w:val="22"/>
        </w:rPr>
        <w:t xml:space="preserve"> 12003-2TX, cu o lățime de lucru impresionantă de 12 metri. Sistemul de rulare revizuit și conceptul de pliere, precum și o serie de opțiuni noi de echipare, extind gama de aplicații posibile și sporesc flexibilitatea în exploatarea practică. Cu AmaXact, AMAZONE a introdus un corp de duză cu modulație de frecvență a lățimii impulsului (PWFM), care duce tehnologia de aplicare la un nivel cu totul nou de performanță. Noul corp al duzei este potrivit în special pentru fermele cu câmpuri medii și mari, precum și pentru aplicări pe suprafețe parțiale, specifice locului și pulverizare localizată. Noua serie de semănătoare tractată Condor 02 stabilește noi </w:t>
      </w:r>
      <w:r>
        <w:rPr>
          <w:rFonts w:ascii="Arial" w:hAnsi="Arial"/>
          <w:sz w:val="22"/>
        </w:rPr>
        <w:lastRenderedPageBreak/>
        <w:t xml:space="preserve">standarde în domeniul însămânțării cu brăzdar cu gheare. Funcționează fiabil în cele mai dificile condiții și impresionează prin compactitate, precizie și eficiență ridicată. </w:t>
      </w:r>
    </w:p>
    <w:p w14:paraId="54C480AF" w14:textId="1CEFFAEA" w:rsidR="00283952" w:rsidRPr="00283952" w:rsidRDefault="00283952" w:rsidP="00283952">
      <w:pPr>
        <w:spacing w:after="120" w:line="360" w:lineRule="auto"/>
        <w:ind w:left="567" w:right="1695"/>
        <w:rPr>
          <w:rFonts w:ascii="Arial" w:hAnsi="Arial" w:cs="Arial"/>
          <w:bCs/>
          <w:sz w:val="22"/>
          <w:szCs w:val="22"/>
        </w:rPr>
      </w:pPr>
      <w:r>
        <w:rPr>
          <w:rFonts w:ascii="Arial" w:hAnsi="Arial"/>
          <w:sz w:val="22"/>
        </w:rPr>
        <w:t>În domeniul îngrijirii solului, a fost prezentat studiul privind mașina autonomă de tuns iarba/colector Profihopper AutoDrive. Acest lucru duce cosirea, colectarea și mulcirea la un nou nivel. Această mașină multifuncțională poate fi operată manual, de la distanță sau complet autonom. Mașina de tuns iarba rotativă BladeCut 1800 a fost prezentată ca produs nou la demopark 2025 și este disponibilă ca opțiune suplimentară pentru Profihopper 1500.</w:t>
      </w:r>
    </w:p>
    <w:p w14:paraId="249F278D" w14:textId="46DD9B91" w:rsidR="00346DD9" w:rsidRDefault="00BD7CDE" w:rsidP="00C86A17">
      <w:pPr>
        <w:spacing w:after="120" w:line="360" w:lineRule="auto"/>
        <w:ind w:left="567" w:right="1695"/>
        <w:rPr>
          <w:rFonts w:ascii="Arial" w:hAnsi="Arial"/>
          <w:sz w:val="22"/>
        </w:rPr>
      </w:pPr>
      <w:r>
        <w:rPr>
          <w:rFonts w:ascii="Arial" w:hAnsi="Arial"/>
          <w:sz w:val="22"/>
        </w:rPr>
        <w:t>O mențiune specială trebuie acordată AmaGrill, care a fost dezvoltat de stagiarii AMAZONE. Au transformat un distribuitor de sare pentru iarnă într-un grătar pentru cârnați bratwurst complet funcțional și de înaltă tehnologie. A primit Premiul pentru Inovație în cadrul concursului AGRILL pentru creativitatea și implementarea tehnică.</w:t>
      </w:r>
    </w:p>
    <w:p w14:paraId="48432873" w14:textId="77777777" w:rsidR="00283952" w:rsidRPr="00BC2960" w:rsidRDefault="00283952" w:rsidP="00283952">
      <w:pPr>
        <w:spacing w:after="120" w:line="360" w:lineRule="auto"/>
        <w:ind w:left="567" w:right="1695"/>
        <w:rPr>
          <w:rFonts w:ascii="Arial" w:hAnsi="Arial" w:cs="Arial"/>
          <w:bCs/>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Grapa compactă cu discuri Catros împlinește 25 de ani</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După cum s-a anunțat la Agritechnica în noiembrie anul trecut, în 2026 se va sărbători o aniversare specială: 25 de ani de Catros – o etapă importantă care onorează lunga poveste de succes a grapelor compacte cu discuri, sub motto-ul „Inovația nu se oprește niciodată”. În 2001, a fost pusă piatra de temelie pentru unul dintre cele mai de succes produse din gama AMAZONE pentru prelucrarea solului. De un sfert de secol, Catros stabilește în mod continuu standarde în domeniul progresului tehnologic și oferă sprijin durabil sectorului agricol în optimizarea proceselor sale. Pe parcursul anului, această aniversare va fi însoțită de diverse măsuri și activități.</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Concentrare pe inteligența artificială</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 xml:space="preserve">Dezvoltarea sistemelor bazate pe inteligența artificială devine din ce în ce mai mult un punct central al strategiei de inovare. Inteligența artificială servește ca instrument pentru utilizarea mai eficientă a resurselor și protejarea ecosistemelor într-un mod durabil. În domeniile sale de expertiză, AMAZONE își propune să devină lider în funcții de asistență inteligentă, cum ar fi sistemul premiat de recunoaștere a îngrășămintelor bazat pe inteligență artificială, EasyMatch, metode analitice asistate de inteligență artificială, cum ar fi sistemul de senzori pentru sol SoilDetect, precum și procese de optimizare bazate pe date. Se preconizează că această tehnologie va permite o producție a culturilor și mai precisă, mai eficientă și mai economică în viitor. În plus, </w:t>
      </w:r>
      <w:r>
        <w:rPr>
          <w:rFonts w:ascii="Arial" w:hAnsi="Arial"/>
          <w:sz w:val="22"/>
        </w:rPr>
        <w:lastRenderedPageBreak/>
        <w:t>utilizarea tehnologiei inteligenței artificiale este promovată și în alte domenii ale companiei.</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Așteptări pentru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„Pentru 2026, ne așteptăm ca vânzările să rămână la un nivel stabil și ridicat. Ceea ce am realizat reprezintă un impuls important pentru noi, pentru a continua dezvoltarea AMAZONE într-un mod clar orientat și fiabil în viitor. În final, dorim să exprimăm sincere mulțumiri clienților noștri, partenerilor noștri de vânzări și servicii, precum și tuturor angajaților noștri, a căror încredere și cooperare au contribuit în mod semnificativ la succesul companiei", declară Christian Dreyer și dr.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Invitație la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 xml:space="preserve">Pe 21 mai 2026, Grupul AMAZONE lansează invitația la cea de-a 10-a ediție a zilei porților deschise AMATECHNICA, care va avea loc la fabrica principală din Hasbergen-Gaste. Toate inovațiile Agritechnica vor fi prezentate în această zi, atât în arenă, cât și în mod activ pe câmp. Programul extins, care include o expoziție amplă de utilaje, stații de consultanță tehnică și oportunități de dialog, se adresează tuturor clienților, utilizatorilor și partenerilor, precum și tuturor celor interesați de tehnologia de ultimă generație pentru provocările agricole ale viitorului.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77777777" w:rsidR="004152B8" w:rsidRDefault="004152B8" w:rsidP="00956844">
      <w:pPr>
        <w:spacing w:after="120" w:line="360" w:lineRule="auto"/>
        <w:ind w:left="567" w:right="1695"/>
        <w:rPr>
          <w:rFonts w:ascii="Arial" w:hAnsi="Arial" w:cs="Arial"/>
          <w:bCs/>
          <w:sz w:val="22"/>
          <w:szCs w:val="22"/>
        </w:rPr>
      </w:pPr>
    </w:p>
    <w:p w14:paraId="1395077E" w14:textId="7851E409" w:rsidR="00BD7CDE" w:rsidRDefault="00BD7CDE">
      <w:pPr>
        <w:rPr>
          <w:rFonts w:ascii="Arial" w:hAnsi="Arial" w:cs="Arial"/>
          <w:bCs/>
          <w:sz w:val="22"/>
          <w:szCs w:val="22"/>
        </w:rPr>
      </w:pPr>
      <w:r>
        <w:rPr>
          <w:rFonts w:ascii="Arial" w:hAnsi="Arial" w:cs="Arial"/>
          <w:bCs/>
          <w:sz w:val="22"/>
          <w:szCs w:val="22"/>
        </w:rPr>
        <w:br w:type="page"/>
      </w:r>
    </w:p>
    <w:p w14:paraId="1455005E" w14:textId="77777777" w:rsidR="00BD7CDE" w:rsidRDefault="00BD7CDE" w:rsidP="00BD7CDE">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5672B763" wp14:editId="7BDE2267">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BFBD89D" w14:textId="1F15B5C8" w:rsidR="00BD7CDE" w:rsidRDefault="00BD7CDE" w:rsidP="00BD7CDE">
      <w:pPr>
        <w:spacing w:after="120" w:line="360" w:lineRule="auto"/>
        <w:ind w:left="567" w:right="1695"/>
        <w:rPr>
          <w:rFonts w:ascii="Arial" w:eastAsia="Arial" w:hAnsi="Arial" w:cs="Arial"/>
          <w:sz w:val="22"/>
          <w:szCs w:val="22"/>
        </w:rPr>
      </w:pPr>
      <w:r w:rsidRPr="00CC298A">
        <w:rPr>
          <w:rFonts w:ascii="Arial" w:eastAsia="Arial" w:hAnsi="Arial" w:cs="Arial"/>
          <w:sz w:val="22"/>
          <w:szCs w:val="22"/>
        </w:rPr>
        <w:t xml:space="preserve">Christian Dreyer </w:t>
      </w:r>
      <w:r>
        <w:rPr>
          <w:rFonts w:ascii="Arial" w:hAnsi="Arial"/>
        </w:rPr>
        <w:t>și</w:t>
      </w:r>
      <w:r w:rsidRPr="00CC298A">
        <w:rPr>
          <w:rFonts w:ascii="Arial" w:eastAsia="Arial" w:hAnsi="Arial" w:cs="Arial"/>
          <w:sz w:val="22"/>
          <w:szCs w:val="22"/>
        </w:rPr>
        <w:t xml:space="preserve"> </w:t>
      </w:r>
      <w:r w:rsidRPr="00CC298A">
        <w:rPr>
          <w:rFonts w:ascii="Arial" w:eastAsia="Arial" w:hAnsi="Arial" w:cs="Arial"/>
          <w:sz w:val="22"/>
          <w:szCs w:val="22"/>
        </w:rPr>
        <w:t xml:space="preserve">Dr. Justus Dreyer, </w:t>
      </w:r>
      <w:r>
        <w:rPr>
          <w:rFonts w:ascii="Arial" w:hAnsi="Arial"/>
        </w:rPr>
        <w:t>copreședinți ai Consiliului de Administrație și proprietari ai grupului AMAZONE</w:t>
      </w:r>
      <w:r>
        <w:rPr>
          <w:rFonts w:ascii="Arial" w:hAnsi="Arial"/>
        </w:rPr>
        <w:t>.</w:t>
      </w:r>
    </w:p>
    <w:p w14:paraId="27B1B6EF" w14:textId="77777777" w:rsidR="00BD7CDE" w:rsidRDefault="00BD7CDE" w:rsidP="00BD7CDE">
      <w:pPr>
        <w:spacing w:after="120" w:line="360" w:lineRule="auto"/>
        <w:ind w:left="567" w:right="1695"/>
        <w:rPr>
          <w:rFonts w:ascii="Arial" w:hAnsi="Arial" w:cs="Arial"/>
          <w:bCs/>
          <w:sz w:val="22"/>
          <w:szCs w:val="22"/>
        </w:rPr>
      </w:pPr>
    </w:p>
    <w:p w14:paraId="67C3B5A1" w14:textId="77777777" w:rsidR="00BD7CDE" w:rsidRDefault="00BD7CDE" w:rsidP="00BD7CD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2B7769F4" wp14:editId="13DABD1C">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5A1BD447" w14:textId="4CDE6A90" w:rsidR="00BD7CDE" w:rsidRPr="003E3010" w:rsidRDefault="00BD7CDE" w:rsidP="00BD7CDE">
      <w:pPr>
        <w:spacing w:after="120" w:line="360" w:lineRule="auto"/>
        <w:ind w:left="567" w:right="1695"/>
        <w:rPr>
          <w:rFonts w:ascii="Arial" w:eastAsia="Arial" w:hAnsi="Arial" w:cs="Arial"/>
        </w:rPr>
      </w:pPr>
      <w:r>
        <w:rPr>
          <w:rFonts w:ascii="Arial" w:eastAsia="Arial" w:hAnsi="Arial" w:cs="Arial"/>
        </w:rPr>
        <w:t xml:space="preserve">ZA-TS 01 AutoSpread - </w:t>
      </w:r>
      <w:r>
        <w:rPr>
          <w:rFonts w:ascii="Arial" w:hAnsi="Arial"/>
        </w:rPr>
        <w:t>Self-adjustment of the spreader through measurement of the actual spread pattern</w:t>
      </w:r>
      <w:r>
        <w:rPr>
          <w:rFonts w:ascii="Arial" w:eastAsia="Arial" w:hAnsi="Arial" w:cs="Arial"/>
        </w:rPr>
        <w:t>.</w:t>
      </w:r>
    </w:p>
    <w:p w14:paraId="78AB8C1E" w14:textId="77777777" w:rsidR="00BD7CDE" w:rsidRDefault="00BD7CDE" w:rsidP="00BD7CDE">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6F49738E" wp14:editId="4995A008">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682B636A" w14:textId="36AFA4B0" w:rsidR="00BD7CDE" w:rsidRDefault="00BD7CDE" w:rsidP="00BD7CDE">
      <w:pPr>
        <w:spacing w:after="120" w:line="360" w:lineRule="auto"/>
        <w:ind w:left="567" w:right="1695"/>
        <w:rPr>
          <w:rFonts w:ascii="Arial" w:eastAsia="Arial" w:hAnsi="Arial" w:cs="Arial"/>
        </w:rPr>
      </w:pPr>
      <w:r>
        <w:rPr>
          <w:rFonts w:ascii="Arial" w:hAnsi="Arial" w:cs="Arial"/>
          <w:bCs/>
          <w:sz w:val="22"/>
          <w:szCs w:val="22"/>
        </w:rPr>
        <w:t xml:space="preserve">Catros 12003-2TX - </w:t>
      </w:r>
      <w:r>
        <w:rPr>
          <w:rFonts w:ascii="Arial" w:hAnsi="Arial"/>
        </w:rPr>
        <w:t>Maximum output thanks to the 12 m working width and working speeds of up to 18 km/h</w:t>
      </w:r>
      <w:r>
        <w:rPr>
          <w:rFonts w:ascii="Arial" w:hAnsi="Arial"/>
        </w:rPr>
        <w:t>.</w:t>
      </w:r>
    </w:p>
    <w:p w14:paraId="6391D7E9" w14:textId="77777777" w:rsidR="00BD7CDE" w:rsidRDefault="00BD7CDE" w:rsidP="00BD7CDE">
      <w:pPr>
        <w:spacing w:after="120" w:line="360" w:lineRule="auto"/>
        <w:ind w:left="567" w:right="1695"/>
        <w:rPr>
          <w:rFonts w:ascii="Arial" w:hAnsi="Arial" w:cs="Arial"/>
          <w:bCs/>
          <w:sz w:val="22"/>
          <w:szCs w:val="22"/>
        </w:rPr>
      </w:pPr>
    </w:p>
    <w:p w14:paraId="6D14EFE4" w14:textId="77777777" w:rsidR="00BD7CDE" w:rsidRDefault="00BD7CDE" w:rsidP="00BD7CD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73371E83" wp14:editId="0C2929FA">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5743ED65" w14:textId="47BC5CDF" w:rsidR="00BD7CDE" w:rsidRDefault="00BD7CDE" w:rsidP="00BD7CDE">
      <w:pPr>
        <w:spacing w:after="120" w:line="360" w:lineRule="auto"/>
        <w:ind w:left="567" w:right="1695"/>
        <w:rPr>
          <w:rFonts w:ascii="Arial" w:eastAsia="Arial" w:hAnsi="Arial" w:cs="Arial"/>
        </w:rPr>
      </w:pPr>
      <w:r>
        <w:rPr>
          <w:rFonts w:ascii="Arial" w:hAnsi="Arial"/>
        </w:rPr>
        <w:t>The high-capacity Condor 9002-2TC remains handy and easily manoeuvrable thanks to its compact chassis design</w:t>
      </w:r>
      <w:r>
        <w:rPr>
          <w:rFonts w:ascii="Arial" w:eastAsia="Arial" w:hAnsi="Arial" w:cs="Arial"/>
        </w:rPr>
        <w:t>.</w:t>
      </w:r>
    </w:p>
    <w:p w14:paraId="63F7275D" w14:textId="77777777" w:rsidR="00BD7CDE" w:rsidRDefault="00BD7CDE" w:rsidP="00BD7CDE">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546CEA1E" wp14:editId="223C11D9">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0745B226" w14:textId="77777777" w:rsidR="00BD7CDE" w:rsidRDefault="00BD7CDE" w:rsidP="00BD7CDE">
      <w:pPr>
        <w:spacing w:after="120" w:line="360" w:lineRule="auto"/>
        <w:ind w:left="567" w:right="1695"/>
        <w:rPr>
          <w:rFonts w:ascii="Arial" w:hAnsi="Arial" w:cs="Arial"/>
          <w:bCs/>
          <w:sz w:val="22"/>
          <w:szCs w:val="22"/>
        </w:rPr>
      </w:pPr>
      <w:r>
        <w:rPr>
          <w:rFonts w:ascii="Arial" w:hAnsi="Arial" w:cs="Arial"/>
          <w:bCs/>
          <w:sz w:val="22"/>
          <w:szCs w:val="22"/>
        </w:rPr>
        <w:t xml:space="preserve">Profihopper 1250 with </w:t>
      </w:r>
      <w:r>
        <w:rPr>
          <w:rFonts w:ascii="Arial" w:hAnsi="Arial"/>
        </w:rPr>
        <w:t>InsectGuard insect scaring</w:t>
      </w:r>
    </w:p>
    <w:p w14:paraId="1BADF54D" w14:textId="2D67EEEC" w:rsidR="00BD7CDE" w:rsidRDefault="00BD7CDE" w:rsidP="00BD7CDE">
      <w:pPr>
        <w:spacing w:after="120" w:line="360" w:lineRule="auto"/>
        <w:ind w:right="1695"/>
        <w:rPr>
          <w:rFonts w:ascii="Arial" w:hAnsi="Arial" w:cs="Arial"/>
          <w:bCs/>
          <w:sz w:val="22"/>
          <w:szCs w:val="22"/>
        </w:rPr>
      </w:pPr>
    </w:p>
    <w:p w14:paraId="7BA84EA1" w14:textId="77777777" w:rsidR="00BD7CDE" w:rsidRDefault="00BD7CDE" w:rsidP="00BD7CDE">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4C5E6FBC" wp14:editId="5DF16CC4">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729D166A" w14:textId="23C7DD76" w:rsidR="00BD7CDE" w:rsidRDefault="00BD7CDE" w:rsidP="00BD7CDE">
      <w:pPr>
        <w:spacing w:after="120" w:line="360" w:lineRule="auto"/>
        <w:ind w:left="567" w:right="1695"/>
        <w:rPr>
          <w:rFonts w:ascii="Arial" w:hAnsi="Arial" w:cs="Arial"/>
          <w:bCs/>
          <w:sz w:val="22"/>
          <w:szCs w:val="22"/>
        </w:rPr>
      </w:pPr>
      <w:r>
        <w:rPr>
          <w:rFonts w:ascii="Arial" w:hAnsi="Arial" w:cs="Arial"/>
          <w:bCs/>
          <w:sz w:val="22"/>
          <w:szCs w:val="22"/>
        </w:rPr>
        <w:t xml:space="preserve">EasyTram – </w:t>
      </w:r>
      <w:r>
        <w:rPr>
          <w:rFonts w:ascii="Arial" w:hAnsi="Arial"/>
        </w:rPr>
        <w:t>T</w:t>
      </w:r>
      <w:r w:rsidRPr="0081037F">
        <w:rPr>
          <w:rFonts w:ascii="Arial" w:hAnsi="Arial"/>
        </w:rPr>
        <w:t xml:space="preserve">ramlines according to an application map. </w:t>
      </w:r>
      <w:r>
        <w:rPr>
          <w:rFonts w:ascii="Arial" w:hAnsi="Arial"/>
        </w:rPr>
        <w:t>From sowing on the angle for more erosion protection on inclines to sowing in a direction independent of the tramlines</w:t>
      </w:r>
      <w:r>
        <w:rPr>
          <w:rFonts w:ascii="Arial" w:hAnsi="Arial" w:cs="Arial"/>
          <w:bCs/>
          <w:sz w:val="22"/>
          <w:szCs w:val="22"/>
        </w:rPr>
        <w:t xml:space="preserve">. </w:t>
      </w:r>
      <w:r>
        <w:rPr>
          <w:rFonts w:ascii="Arial" w:hAnsi="Arial" w:cs="Arial"/>
          <w:bCs/>
          <w:sz w:val="22"/>
          <w:szCs w:val="22"/>
        </w:rPr>
        <w:br w:type="page"/>
      </w:r>
    </w:p>
    <w:p w14:paraId="1B1A8215" w14:textId="77777777" w:rsidR="00BD7CDE" w:rsidRPr="00956844" w:rsidRDefault="00BD7CDE" w:rsidP="00956844">
      <w:pPr>
        <w:spacing w:after="120" w:line="360" w:lineRule="auto"/>
        <w:ind w:left="567" w:right="1695"/>
        <w:rPr>
          <w:rFonts w:ascii="Arial" w:hAnsi="Arial" w:cs="Arial"/>
          <w:bCs/>
          <w:sz w:val="22"/>
          <w:szCs w:val="22"/>
        </w:rPr>
      </w:pPr>
    </w:p>
    <w:p w14:paraId="043C5AD9" w14:textId="480DD10C" w:rsidR="008137DC" w:rsidRDefault="008137DC">
      <w:pPr>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39ECEB71" w14:textId="5E4A7B31"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 spațiilor verzi. Compania administrată de proprietar are aproximativ 2.700 de angajați în </w:t>
      </w:r>
      <w:r w:rsidR="00BD7CDE">
        <w:rPr>
          <w:rFonts w:ascii="Arial" w:hAnsi="Arial"/>
          <w:color w:val="808080" w:themeColor="background1" w:themeShade="80"/>
          <w:sz w:val="20"/>
        </w:rPr>
        <w:t>8</w:t>
      </w:r>
      <w:r>
        <w:rPr>
          <w:rFonts w:ascii="Arial" w:hAnsi="Arial"/>
          <w:color w:val="808080" w:themeColor="background1" w:themeShade="80"/>
          <w:sz w:val="20"/>
        </w:rPr>
        <w:t xml:space="preserve"> unități de producție, Centrul Global de Piese și Centrul Global de Utilaje. Portofoliul de mașini agricole include echipamente de prelucrare a solului, semănători, distribuitoare de îngrășăminte, echipamente de protecție a plantelor și echipamente pentru prășit. Pe baza acestor competențe de bază, AMAZONE este acum specialistul în cultivarea inteligentă în agricultură. În plus, cu gama sa de îngrijire a solului, AMAZONE oferă utilaje versatile pentru întreținerea parcurilor și a spațiilor verzi, precum și pentru serviciul de deszăpezire. Informații suplimentare: </w:t>
      </w:r>
      <w:hyperlink r:id="rId14" w:history="1">
        <w:r w:rsidR="00BD7CDE" w:rsidRPr="00B34A04">
          <w:rPr>
            <w:rStyle w:val="Hyperlink"/>
            <w:rFonts w:ascii="Arial" w:hAnsi="Arial"/>
            <w:sz w:val="20"/>
          </w:rPr>
          <w:t>https://amazone.ro</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Sunt aplicate reglementările de circulație rutieră specifice fiecărei țări și acestea trebuie respectate, ceea ce înseamnă că poate fi necesară o aprobare specială. Sarcinile pe osii permise și greutățile totale ale tractoarelor trebuie verificate. Nu toți producătorii de tractoare pot oferi combinațiile prezentate.</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BD7CDE">
      <w:headerReference w:type="default" r:id="rId30"/>
      <w:footerReference w:type="default" r:id="rId31"/>
      <w:pgSz w:w="11901" w:h="16840" w:code="9"/>
      <w:pgMar w:top="1530" w:right="567" w:bottom="153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Germania</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Februarie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Februarie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33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D7CDE"/>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BD7CD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amazone.ro"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1917</Words>
  <Characters>11104</Characters>
  <Application>Microsoft Office Word</Application>
  <DocSecurity>0</DocSecurity>
  <Lines>205</Lines>
  <Paragraphs>50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12971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166</cp:revision>
  <cp:lastPrinted>2010-02-24T09:10:00Z</cp:lastPrinted>
  <dcterms:created xsi:type="dcterms:W3CDTF">2025-02-24T08:48:00Z</dcterms:created>
  <dcterms:modified xsi:type="dcterms:W3CDTF">2026-02-26T11:39:00Z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